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BB9CB" w14:textId="278380C4" w:rsidR="0098684E" w:rsidRPr="000C5910" w:rsidRDefault="00AF5497" w:rsidP="00AF5497">
      <w:pPr>
        <w:rPr>
          <w:b/>
          <w:bCs/>
          <w:color w:val="FF0000"/>
        </w:rPr>
      </w:pPr>
      <w:r w:rsidRPr="000C5910">
        <w:rPr>
          <w:b/>
          <w:bCs/>
          <w:color w:val="FF0000"/>
          <w:highlight w:val="yellow"/>
        </w:rPr>
        <w:t>D</w:t>
      </w:r>
      <w:r w:rsidR="0098684E" w:rsidRPr="000C5910">
        <w:rPr>
          <w:b/>
          <w:bCs/>
          <w:color w:val="FF0000"/>
          <w:highlight w:val="yellow"/>
        </w:rPr>
        <w:t>11</w:t>
      </w:r>
      <w:r w:rsidRPr="000C5910">
        <w:rPr>
          <w:b/>
          <w:bCs/>
          <w:color w:val="FF0000"/>
          <w:highlight w:val="yellow"/>
        </w:rPr>
        <w:t>.</w:t>
      </w:r>
      <w:r w:rsidR="0098684E" w:rsidRPr="000C5910">
        <w:rPr>
          <w:b/>
          <w:bCs/>
          <w:color w:val="FF0000"/>
          <w:highlight w:val="yellow"/>
        </w:rPr>
        <w:t>5</w:t>
      </w:r>
      <w:r w:rsidRPr="000C5910">
        <w:rPr>
          <w:b/>
          <w:bCs/>
          <w:color w:val="FF0000"/>
          <w:highlight w:val="yellow"/>
        </w:rPr>
        <w:t>1</w:t>
      </w:r>
      <w:r w:rsidRPr="000C5910">
        <w:rPr>
          <w:b/>
          <w:bCs/>
          <w:color w:val="FF0000"/>
        </w:rPr>
        <w:t xml:space="preserve"> les </w:t>
      </w:r>
      <w:r w:rsidR="0098684E" w:rsidRPr="000C5910">
        <w:rPr>
          <w:b/>
          <w:bCs/>
          <w:color w:val="FF0000"/>
        </w:rPr>
        <w:t xml:space="preserve">espaces en marge </w:t>
      </w:r>
      <w:r w:rsidR="000C5910" w:rsidRPr="000C5910">
        <w:rPr>
          <w:b/>
          <w:bCs/>
          <w:color w:val="FF0000"/>
        </w:rPr>
        <w:t>et</w:t>
      </w:r>
      <w:r w:rsidR="0098684E" w:rsidRPr="000C5910">
        <w:rPr>
          <w:b/>
          <w:bCs/>
          <w:color w:val="FF0000"/>
        </w:rPr>
        <w:t xml:space="preserve"> illégau</w:t>
      </w:r>
      <w:r w:rsidR="000C5910" w:rsidRPr="000C5910">
        <w:rPr>
          <w:b/>
          <w:bCs/>
          <w:color w:val="FF0000"/>
        </w:rPr>
        <w:t>x</w:t>
      </w:r>
    </w:p>
    <w:p w14:paraId="6846FF85" w14:textId="1BB38C31" w:rsidR="00AF5497" w:rsidRPr="000C5910" w:rsidRDefault="000C5910" w:rsidP="000C5910">
      <w:pPr>
        <w:pStyle w:val="Sansinterligne"/>
        <w:rPr>
          <w:b/>
          <w:bCs/>
        </w:rPr>
      </w:pPr>
      <w:r w:rsidRPr="000C5910">
        <w:rPr>
          <w:b/>
          <w:bCs/>
        </w:rPr>
        <w:t>L</w:t>
      </w:r>
      <w:r w:rsidR="00AF5497" w:rsidRPr="000C5910">
        <w:rPr>
          <w:b/>
          <w:bCs/>
        </w:rPr>
        <w:t>es PMA</w:t>
      </w:r>
      <w:r w:rsidRPr="000C5910">
        <w:rPr>
          <w:b/>
          <w:bCs/>
        </w:rPr>
        <w:t xml:space="preserve"> (texte explicatif sur le site)</w:t>
      </w:r>
    </w:p>
    <w:p w14:paraId="31ACE977" w14:textId="3CD280E4" w:rsidR="00AF5497" w:rsidRDefault="00AF5497" w:rsidP="000C5910">
      <w:pPr>
        <w:pStyle w:val="Sansinterligne"/>
      </w:pPr>
      <w:r>
        <w:rPr>
          <w:noProof/>
        </w:rPr>
        <w:drawing>
          <wp:inline distT="0" distB="0" distL="0" distR="0" wp14:anchorId="72A78484" wp14:editId="65C2D3E3">
            <wp:extent cx="6177280" cy="2362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3141" cy="2368265"/>
                    </a:xfrm>
                    <a:prstGeom prst="rect">
                      <a:avLst/>
                    </a:prstGeom>
                    <a:noFill/>
                    <a:ln>
                      <a:noFill/>
                    </a:ln>
                  </pic:spPr>
                </pic:pic>
              </a:graphicData>
            </a:graphic>
          </wp:inline>
        </w:drawing>
      </w:r>
    </w:p>
    <w:p w14:paraId="6D02B5FA" w14:textId="0D07BAEB" w:rsidR="00AF5497" w:rsidRPr="000C5910" w:rsidRDefault="00AF5497" w:rsidP="000C5910">
      <w:pPr>
        <w:pStyle w:val="Sansinterligne"/>
        <w:jc w:val="right"/>
        <w:rPr>
          <w:sz w:val="18"/>
          <w:szCs w:val="18"/>
        </w:rPr>
      </w:pPr>
      <w:r w:rsidRPr="000C5910">
        <w:rPr>
          <w:sz w:val="18"/>
          <w:szCs w:val="18"/>
          <w:highlight w:val="green"/>
        </w:rPr>
        <w:t>En vert pays sortis du statut de PMA</w:t>
      </w:r>
    </w:p>
    <w:p w14:paraId="7C9A8610" w14:textId="7EC0C25A" w:rsidR="0098684E" w:rsidRPr="000C5910" w:rsidRDefault="0098684E" w:rsidP="000C5910">
      <w:pPr>
        <w:pStyle w:val="Sansinterligne"/>
        <w:rPr>
          <w:b/>
          <w:bCs/>
          <w:sz w:val="20"/>
          <w:szCs w:val="20"/>
        </w:rPr>
      </w:pPr>
      <w:r w:rsidRPr="000C5910">
        <w:rPr>
          <w:b/>
          <w:bCs/>
        </w:rPr>
        <w:t xml:space="preserve">Un exemple de « zone grise » : le trafic d’opium et de cocaïne </w:t>
      </w:r>
      <w:r w:rsidRPr="000C5910">
        <w:rPr>
          <w:b/>
          <w:bCs/>
          <w:sz w:val="20"/>
          <w:szCs w:val="20"/>
        </w:rPr>
        <w:t>(source : Diplomatie GD 66, février 2022)</w:t>
      </w:r>
    </w:p>
    <w:p w14:paraId="43ECEF41" w14:textId="39C6C73D" w:rsidR="000C5910" w:rsidRDefault="000C5910">
      <w:pPr>
        <w:rPr>
          <w:sz w:val="20"/>
          <w:szCs w:val="20"/>
        </w:rPr>
      </w:pPr>
      <w:r>
        <w:rPr>
          <w:noProof/>
        </w:rPr>
        <w:drawing>
          <wp:inline distT="0" distB="0" distL="0" distR="0" wp14:anchorId="3022334D" wp14:editId="1E09C9CA">
            <wp:extent cx="6177280" cy="30099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77280" cy="3009900"/>
                    </a:xfrm>
                    <a:prstGeom prst="rect">
                      <a:avLst/>
                    </a:prstGeom>
                    <a:noFill/>
                    <a:ln>
                      <a:noFill/>
                    </a:ln>
                  </pic:spPr>
                </pic:pic>
              </a:graphicData>
            </a:graphic>
          </wp:inline>
        </w:drawing>
      </w:r>
    </w:p>
    <w:p w14:paraId="53BB5A40" w14:textId="7E47957C" w:rsidR="0098684E" w:rsidRDefault="0098684E" w:rsidP="000C5910">
      <w:pPr>
        <w:pStyle w:val="Sansinterligne"/>
        <w:rPr>
          <w:b/>
          <w:bCs/>
        </w:rPr>
      </w:pPr>
      <w:r w:rsidRPr="000C5910">
        <w:rPr>
          <w:b/>
          <w:bCs/>
        </w:rPr>
        <w:t xml:space="preserve">A l’échelle locale, les </w:t>
      </w:r>
      <w:proofErr w:type="spellStart"/>
      <w:r w:rsidRPr="000C5910">
        <w:rPr>
          <w:b/>
          <w:bCs/>
        </w:rPr>
        <w:t>bidonsvilles</w:t>
      </w:r>
      <w:proofErr w:type="spellEnd"/>
      <w:r w:rsidR="000C5910">
        <w:rPr>
          <w:b/>
          <w:bCs/>
        </w:rPr>
        <w:t xml:space="preserve"> (à relier avec la localisation des mégapoles mondiales)</w:t>
      </w:r>
    </w:p>
    <w:p w14:paraId="1B3EB713" w14:textId="2D2ED4BF" w:rsidR="000C5910" w:rsidRPr="000C5910" w:rsidRDefault="000C5910" w:rsidP="00810D54">
      <w:pPr>
        <w:pStyle w:val="Sansinterligne"/>
        <w:jc w:val="right"/>
        <w:rPr>
          <w:rFonts w:ascii="Agency FB" w:hAnsi="Agency FB"/>
          <w:sz w:val="20"/>
          <w:szCs w:val="20"/>
        </w:rPr>
      </w:pPr>
      <w:r w:rsidRPr="000C5910">
        <w:rPr>
          <w:rFonts w:ascii="Agency FB" w:hAnsi="Agency FB"/>
          <w:sz w:val="20"/>
          <w:szCs w:val="20"/>
        </w:rPr>
        <w:t>Info 1 : nb de pers y vivant Info 2 : part dans la population urbaine</w:t>
      </w:r>
    </w:p>
    <w:p w14:paraId="7ED5B5FC" w14:textId="76968280" w:rsidR="00AF5497" w:rsidRDefault="0098684E">
      <w:r>
        <w:rPr>
          <w:noProof/>
        </w:rPr>
        <w:drawing>
          <wp:inline distT="0" distB="0" distL="0" distR="0" wp14:anchorId="358CB7D0" wp14:editId="09FFBF05">
            <wp:extent cx="6495214" cy="3124200"/>
            <wp:effectExtent l="0" t="0" r="1270" b="0"/>
            <wp:docPr id="2" name="Image 2"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09509" cy="3131076"/>
                    </a:xfrm>
                    <a:prstGeom prst="rect">
                      <a:avLst/>
                    </a:prstGeom>
                    <a:noFill/>
                    <a:ln>
                      <a:noFill/>
                    </a:ln>
                  </pic:spPr>
                </pic:pic>
              </a:graphicData>
            </a:graphic>
          </wp:inline>
        </w:drawing>
      </w:r>
    </w:p>
    <w:p w14:paraId="72C1AAEE" w14:textId="77777777" w:rsidR="0098684E" w:rsidRPr="00F40055" w:rsidRDefault="0098684E" w:rsidP="0098684E">
      <w:pPr>
        <w:jc w:val="both"/>
      </w:pPr>
      <w:r w:rsidRPr="00F40055">
        <w:lastRenderedPageBreak/>
        <w:t>Définition : les PMA, Pays les moins avancés</w:t>
      </w:r>
    </w:p>
    <w:p w14:paraId="0AC76A32" w14:textId="77777777" w:rsidR="0098684E" w:rsidRPr="000A7B6A" w:rsidRDefault="0098684E" w:rsidP="0098684E">
      <w:pPr>
        <w:jc w:val="both"/>
        <w:rPr>
          <w:rFonts w:cstheme="minorHAnsi"/>
        </w:rPr>
      </w:pPr>
      <w:r w:rsidRPr="000A7B6A">
        <w:rPr>
          <w:rFonts w:eastAsia="Times New Roman" w:cstheme="minorHAnsi"/>
          <w:lang w:eastAsia="fr-FR"/>
        </w:rPr>
        <w:t>Cet acronyme, forgé en </w:t>
      </w:r>
      <w:r w:rsidRPr="000A7B6A">
        <w:rPr>
          <w:rFonts w:eastAsia="Times New Roman" w:cstheme="minorHAnsi"/>
          <w:b/>
          <w:bCs/>
          <w:lang w:eastAsia="fr-FR"/>
        </w:rPr>
        <w:t>1971 </w:t>
      </w:r>
      <w:r w:rsidRPr="000A7B6A">
        <w:rPr>
          <w:rFonts w:eastAsia="Times New Roman" w:cstheme="minorHAnsi"/>
          <w:lang w:eastAsia="fr-FR"/>
        </w:rPr>
        <w:t>par le </w:t>
      </w:r>
      <w:r w:rsidRPr="000A7B6A">
        <w:rPr>
          <w:rFonts w:eastAsia="Times New Roman" w:cstheme="minorHAnsi"/>
          <w:b/>
          <w:bCs/>
          <w:lang w:eastAsia="fr-FR"/>
        </w:rPr>
        <w:t>Conseil Économique et Social de l’ONU</w:t>
      </w:r>
      <w:r w:rsidRPr="000A7B6A">
        <w:rPr>
          <w:rFonts w:eastAsia="Times New Roman" w:cstheme="minorHAnsi"/>
          <w:lang w:eastAsia="fr-FR"/>
        </w:rPr>
        <w:t>, rassemble 46 pays en « difficulté » (contre 21 pays lors de sa création). Les PMA, ou </w:t>
      </w:r>
      <w:r w:rsidRPr="000A7B6A">
        <w:rPr>
          <w:rFonts w:eastAsia="Times New Roman" w:cstheme="minorHAnsi"/>
          <w:b/>
          <w:bCs/>
          <w:i/>
          <w:iCs/>
          <w:lang w:eastAsia="fr-FR"/>
        </w:rPr>
        <w:t xml:space="preserve">Least </w:t>
      </w:r>
      <w:proofErr w:type="spellStart"/>
      <w:r w:rsidRPr="000A7B6A">
        <w:rPr>
          <w:rFonts w:eastAsia="Times New Roman" w:cstheme="minorHAnsi"/>
          <w:b/>
          <w:bCs/>
          <w:i/>
          <w:iCs/>
          <w:lang w:eastAsia="fr-FR"/>
        </w:rPr>
        <w:t>Developed</w:t>
      </w:r>
      <w:proofErr w:type="spellEnd"/>
      <w:r w:rsidRPr="000A7B6A">
        <w:rPr>
          <w:rFonts w:eastAsia="Times New Roman" w:cstheme="minorHAnsi"/>
          <w:b/>
          <w:bCs/>
          <w:i/>
          <w:iCs/>
          <w:lang w:eastAsia="fr-FR"/>
        </w:rPr>
        <w:t xml:space="preserve"> Countries</w:t>
      </w:r>
      <w:r w:rsidRPr="000A7B6A">
        <w:rPr>
          <w:rFonts w:eastAsia="Times New Roman" w:cstheme="minorHAnsi"/>
          <w:lang w:eastAsia="fr-FR"/>
        </w:rPr>
        <w:t> en anglais, sont le dernier étage de la fusée des pays en développement, soit selon l’ONU le « maillon le plus faible et le plus pauvre » de la communauté´ internationale. </w:t>
      </w:r>
      <w:r w:rsidRPr="000A7B6A">
        <w:rPr>
          <w:rFonts w:eastAsia="Times New Roman" w:cstheme="minorHAnsi"/>
          <w:b/>
          <w:bCs/>
          <w:lang w:eastAsia="fr-FR"/>
        </w:rPr>
        <w:t>33 de ces pays sont situés en Afrique</w:t>
      </w:r>
      <w:r w:rsidRPr="000A7B6A">
        <w:rPr>
          <w:rFonts w:eastAsia="Times New Roman" w:cstheme="minorHAnsi"/>
          <w:lang w:eastAsia="fr-FR"/>
        </w:rPr>
        <w:t>, 9 en Asie, 3 en Océanie et un dans les Antilles. Parmi les </w:t>
      </w:r>
      <w:r w:rsidRPr="000A7B6A">
        <w:rPr>
          <w:rFonts w:eastAsia="Times New Roman" w:cstheme="minorHAnsi"/>
          <w:b/>
          <w:bCs/>
          <w:lang w:eastAsia="fr-FR"/>
        </w:rPr>
        <w:t>handicaps structurels </w:t>
      </w:r>
      <w:r w:rsidRPr="000A7B6A">
        <w:rPr>
          <w:rFonts w:eastAsia="Times New Roman" w:cstheme="minorHAnsi"/>
          <w:lang w:eastAsia="fr-FR"/>
        </w:rPr>
        <w:t>que cumulent ces pays, l'ONU recense :</w:t>
      </w:r>
    </w:p>
    <w:p w14:paraId="1F41ABD9" w14:textId="77777777" w:rsidR="0098684E" w:rsidRPr="000A7B6A" w:rsidRDefault="0098684E" w:rsidP="0098684E">
      <w:pPr>
        <w:numPr>
          <w:ilvl w:val="0"/>
          <w:numId w:val="1"/>
        </w:numPr>
        <w:shd w:val="clear" w:color="auto" w:fill="FFFFFF"/>
        <w:spacing w:after="0" w:line="360" w:lineRule="atLeast"/>
        <w:ind w:left="1200"/>
        <w:rPr>
          <w:rFonts w:eastAsia="Times New Roman" w:cstheme="minorHAnsi"/>
          <w:lang w:eastAsia="fr-FR"/>
        </w:rPr>
      </w:pPr>
      <w:proofErr w:type="gramStart"/>
      <w:r w:rsidRPr="000A7B6A">
        <w:rPr>
          <w:rFonts w:eastAsia="Times New Roman" w:cstheme="minorHAnsi"/>
          <w:lang w:eastAsia="fr-FR"/>
        </w:rPr>
        <w:t>un</w:t>
      </w:r>
      <w:proofErr w:type="gramEnd"/>
      <w:r w:rsidRPr="000A7B6A">
        <w:rPr>
          <w:rFonts w:eastAsia="Times New Roman" w:cstheme="minorHAnsi"/>
          <w:lang w:eastAsia="fr-FR"/>
        </w:rPr>
        <w:t xml:space="preserve"> faible niveau de vie (leur PIB est inférieur à 745 dollars US par personne)</w:t>
      </w:r>
    </w:p>
    <w:p w14:paraId="356A79B3" w14:textId="77777777" w:rsidR="0098684E" w:rsidRPr="000A7B6A" w:rsidRDefault="0098684E" w:rsidP="0098684E">
      <w:pPr>
        <w:numPr>
          <w:ilvl w:val="0"/>
          <w:numId w:val="1"/>
        </w:numPr>
        <w:shd w:val="clear" w:color="auto" w:fill="FFFFFF"/>
        <w:spacing w:after="0" w:line="360" w:lineRule="atLeast"/>
        <w:ind w:left="1200"/>
        <w:rPr>
          <w:rFonts w:eastAsia="Times New Roman" w:cstheme="minorHAnsi"/>
          <w:lang w:eastAsia="fr-FR"/>
        </w:rPr>
      </w:pPr>
      <w:proofErr w:type="gramStart"/>
      <w:r w:rsidRPr="000A7B6A">
        <w:rPr>
          <w:rFonts w:eastAsia="Times New Roman" w:cstheme="minorHAnsi"/>
          <w:lang w:eastAsia="fr-FR"/>
        </w:rPr>
        <w:t>une</w:t>
      </w:r>
      <w:proofErr w:type="gramEnd"/>
      <w:r w:rsidRPr="000A7B6A">
        <w:rPr>
          <w:rFonts w:eastAsia="Times New Roman" w:cstheme="minorHAnsi"/>
          <w:lang w:eastAsia="fr-FR"/>
        </w:rPr>
        <w:t xml:space="preserve"> indigence des ressources humaines, traduite par un indice composite qui </w:t>
      </w:r>
      <w:proofErr w:type="spellStart"/>
      <w:r w:rsidRPr="000A7B6A">
        <w:rPr>
          <w:rFonts w:eastAsia="Times New Roman" w:cstheme="minorHAnsi"/>
          <w:lang w:eastAsia="fr-FR"/>
        </w:rPr>
        <w:t>intégre</w:t>
      </w:r>
      <w:proofErr w:type="spellEnd"/>
      <w:r w:rsidRPr="000A7B6A">
        <w:rPr>
          <w:rFonts w:eastAsia="Times New Roman" w:cstheme="minorHAnsi"/>
          <w:lang w:eastAsia="fr-FR"/>
        </w:rPr>
        <w:t xml:space="preserve"> la mortalité infantile, la nutrition ou encore le taux de scolarisation, ce qui rappelle en partie l’Indicateur de Développement Humain utilisé par le Programme des Nations Unies pour le Développement (PNUD) ;</w:t>
      </w:r>
    </w:p>
    <w:p w14:paraId="50CBA803" w14:textId="77777777" w:rsidR="0098684E" w:rsidRPr="000A7B6A" w:rsidRDefault="0098684E" w:rsidP="0098684E">
      <w:pPr>
        <w:numPr>
          <w:ilvl w:val="0"/>
          <w:numId w:val="1"/>
        </w:numPr>
        <w:shd w:val="clear" w:color="auto" w:fill="FFFFFF"/>
        <w:spacing w:after="0" w:line="360" w:lineRule="atLeast"/>
        <w:ind w:left="1200"/>
        <w:rPr>
          <w:rFonts w:eastAsia="Times New Roman" w:cstheme="minorHAnsi"/>
          <w:lang w:eastAsia="fr-FR"/>
        </w:rPr>
      </w:pPr>
      <w:proofErr w:type="gramStart"/>
      <w:r w:rsidRPr="000A7B6A">
        <w:rPr>
          <w:rFonts w:eastAsia="Times New Roman" w:cstheme="minorHAnsi"/>
          <w:lang w:eastAsia="fr-FR"/>
        </w:rPr>
        <w:t>le</w:t>
      </w:r>
      <w:proofErr w:type="gramEnd"/>
      <w:r w:rsidRPr="000A7B6A">
        <w:rPr>
          <w:rFonts w:eastAsia="Times New Roman" w:cstheme="minorHAnsi"/>
          <w:lang w:eastAsia="fr-FR"/>
        </w:rPr>
        <w:t xml:space="preserve"> manque de diversification économique ou la « vulnérabilité économique » résultat de trois composantes : la taille et la fréquence des chocs exogènes, l'exposition du pays aux chocs, et sa résilience ou sa capacité à réagir aux chocs ;</w:t>
      </w:r>
    </w:p>
    <w:p w14:paraId="2FF948B8" w14:textId="77777777" w:rsidR="0098684E" w:rsidRPr="000A7B6A" w:rsidRDefault="0098684E" w:rsidP="0098684E">
      <w:pPr>
        <w:numPr>
          <w:ilvl w:val="0"/>
          <w:numId w:val="1"/>
        </w:numPr>
        <w:shd w:val="clear" w:color="auto" w:fill="FFFFFF"/>
        <w:spacing w:after="0" w:line="360" w:lineRule="atLeast"/>
        <w:ind w:left="1200"/>
        <w:rPr>
          <w:rFonts w:eastAsia="Times New Roman" w:cstheme="minorHAnsi"/>
          <w:lang w:eastAsia="fr-FR"/>
        </w:rPr>
      </w:pPr>
      <w:proofErr w:type="gramStart"/>
      <w:r w:rsidRPr="000A7B6A">
        <w:rPr>
          <w:rFonts w:eastAsia="Times New Roman" w:cstheme="minorHAnsi"/>
          <w:lang w:eastAsia="fr-FR"/>
        </w:rPr>
        <w:t>enfin</w:t>
      </w:r>
      <w:proofErr w:type="gramEnd"/>
      <w:r w:rsidRPr="000A7B6A">
        <w:rPr>
          <w:rFonts w:eastAsia="Times New Roman" w:cstheme="minorHAnsi"/>
          <w:lang w:eastAsia="fr-FR"/>
        </w:rPr>
        <w:t>, une population inférieure à 75 millions de personnes.</w:t>
      </w:r>
    </w:p>
    <w:p w14:paraId="09677537" w14:textId="77777777" w:rsidR="0098684E" w:rsidRPr="000A7B6A" w:rsidRDefault="0098684E" w:rsidP="0098684E">
      <w:pPr>
        <w:shd w:val="clear" w:color="auto" w:fill="FFFFFF"/>
        <w:spacing w:after="0" w:line="240" w:lineRule="auto"/>
        <w:jc w:val="both"/>
        <w:rPr>
          <w:rFonts w:eastAsia="Times New Roman" w:cstheme="minorHAnsi"/>
          <w:lang w:eastAsia="fr-FR"/>
        </w:rPr>
      </w:pPr>
      <w:r w:rsidRPr="000A7B6A">
        <w:rPr>
          <w:rFonts w:eastAsia="Times New Roman" w:cstheme="minorHAnsi"/>
          <w:lang w:eastAsia="fr-FR"/>
        </w:rPr>
        <w:br/>
      </w:r>
      <w:r w:rsidRPr="00F40055">
        <w:rPr>
          <w:rFonts w:eastAsia="Times New Roman" w:cstheme="minorHAnsi"/>
          <w:lang w:eastAsia="fr-FR"/>
        </w:rPr>
        <w:t>C</w:t>
      </w:r>
      <w:r w:rsidRPr="000A7B6A">
        <w:rPr>
          <w:rFonts w:eastAsia="Times New Roman" w:cstheme="minorHAnsi"/>
          <w:lang w:eastAsia="fr-FR"/>
        </w:rPr>
        <w:t>es États peinent à s’extirper de la pauvreté. C’est dans ce cadre qu’ils nécessitent un </w:t>
      </w:r>
      <w:r w:rsidRPr="000A7B6A">
        <w:rPr>
          <w:rFonts w:eastAsia="Times New Roman" w:cstheme="minorHAnsi"/>
          <w:b/>
          <w:bCs/>
          <w:lang w:eastAsia="fr-FR"/>
        </w:rPr>
        <w:t>appui particulier</w:t>
      </w:r>
      <w:r w:rsidRPr="000A7B6A">
        <w:rPr>
          <w:rFonts w:eastAsia="Times New Roman" w:cstheme="minorHAnsi"/>
          <w:lang w:eastAsia="fr-FR"/>
        </w:rPr>
        <w:t> de la part de la communauté internationale</w:t>
      </w:r>
      <w:r w:rsidRPr="00F40055">
        <w:rPr>
          <w:rFonts w:eastAsia="Times New Roman" w:cstheme="minorHAnsi"/>
          <w:lang w:eastAsia="fr-FR"/>
        </w:rPr>
        <w:t xml:space="preserve"> via l</w:t>
      </w:r>
      <w:r w:rsidRPr="000A7B6A">
        <w:rPr>
          <w:rFonts w:eastAsia="Times New Roman" w:cstheme="minorHAnsi"/>
          <w:lang w:eastAsia="fr-FR"/>
        </w:rPr>
        <w:t xml:space="preserve">es principaux programmes de soutien </w:t>
      </w:r>
      <w:r>
        <w:rPr>
          <w:rFonts w:eastAsia="Times New Roman" w:cstheme="minorHAnsi"/>
          <w:lang w:eastAsia="fr-FR"/>
        </w:rPr>
        <w:t>(APD …)</w:t>
      </w:r>
      <w:r w:rsidRPr="00F40055">
        <w:rPr>
          <w:rFonts w:eastAsia="Times New Roman" w:cstheme="minorHAnsi"/>
          <w:lang w:eastAsia="fr-FR"/>
        </w:rPr>
        <w:t xml:space="preserve">. </w:t>
      </w:r>
      <w:r w:rsidRPr="000A7B6A">
        <w:rPr>
          <w:rFonts w:eastAsia="Times New Roman" w:cstheme="minorHAnsi"/>
          <w:lang w:eastAsia="fr-FR"/>
        </w:rPr>
        <w:t>L'inscription sur la liste proposée par l'ONU est </w:t>
      </w:r>
      <w:r w:rsidRPr="000A7B6A">
        <w:rPr>
          <w:rFonts w:eastAsia="Times New Roman" w:cstheme="minorHAnsi"/>
          <w:b/>
          <w:bCs/>
          <w:lang w:eastAsia="fr-FR"/>
        </w:rPr>
        <w:t>acceptée ou non </w:t>
      </w:r>
      <w:r w:rsidRPr="000A7B6A">
        <w:rPr>
          <w:rFonts w:eastAsia="Times New Roman" w:cstheme="minorHAnsi"/>
          <w:lang w:eastAsia="fr-FR"/>
        </w:rPr>
        <w:t>par les gouvernements. Cela peut expliquer que des pays tels que le Zimbabwe, la Bolivie ou la Corée du Nord n’en fassent pas partie. </w:t>
      </w:r>
      <w:r w:rsidRPr="000A7B6A">
        <w:rPr>
          <w:rFonts w:eastAsia="Times New Roman" w:cstheme="minorHAnsi"/>
          <w:b/>
          <w:bCs/>
          <w:lang w:eastAsia="fr-FR"/>
        </w:rPr>
        <w:t>Sept pays ont pu s’extraire </w:t>
      </w:r>
      <w:r w:rsidRPr="000A7B6A">
        <w:rPr>
          <w:rFonts w:eastAsia="Times New Roman" w:cstheme="minorHAnsi"/>
          <w:lang w:eastAsia="fr-FR"/>
        </w:rPr>
        <w:t>de cette catégorie : le Botswana (1994), le Cap-Vert (2007), les Maldives (2011), les Samoa (2014), et la Guinée Équatoriale (2017) et le Vanuatu (2020) tandis que le Soudan du Sud l’a intégrée en 2011. Des pays sont par ailleurs </w:t>
      </w:r>
      <w:r w:rsidRPr="000A7B6A">
        <w:rPr>
          <w:rFonts w:eastAsia="Times New Roman" w:cstheme="minorHAnsi"/>
          <w:b/>
          <w:bCs/>
          <w:lang w:eastAsia="fr-FR"/>
        </w:rPr>
        <w:t>en attente de sortie</w:t>
      </w:r>
      <w:r w:rsidRPr="000A7B6A">
        <w:rPr>
          <w:rFonts w:eastAsia="Times New Roman" w:cstheme="minorHAnsi"/>
          <w:lang w:eastAsia="fr-FR"/>
        </w:rPr>
        <w:t> : l'Angola dès 2021, le Bhoutan en 2023, suivis de São Tomé et Principe et des Îles Salomon en 2024 (source : ONU, 2020). Toutefois, certains pays se sont montrés </w:t>
      </w:r>
      <w:r w:rsidRPr="000A7B6A">
        <w:rPr>
          <w:rFonts w:eastAsia="Times New Roman" w:cstheme="minorHAnsi"/>
          <w:b/>
          <w:bCs/>
          <w:lang w:eastAsia="fr-FR"/>
        </w:rPr>
        <w:t>réticents à sortir </w:t>
      </w:r>
      <w:r w:rsidRPr="000A7B6A">
        <w:rPr>
          <w:rFonts w:eastAsia="Times New Roman" w:cstheme="minorHAnsi"/>
          <w:lang w:eastAsia="fr-FR"/>
        </w:rPr>
        <w:t>– en demandant notamment des reports – du fait des avantages liés au statut.</w:t>
      </w:r>
    </w:p>
    <w:p w14:paraId="07195AEB" w14:textId="77777777" w:rsidR="0098684E" w:rsidRDefault="0098684E"/>
    <w:sectPr w:rsidR="0098684E" w:rsidSect="009868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40245"/>
    <w:multiLevelType w:val="multilevel"/>
    <w:tmpl w:val="6BCE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41670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8B"/>
    <w:rsid w:val="000B658B"/>
    <w:rsid w:val="000C5910"/>
    <w:rsid w:val="005163D8"/>
    <w:rsid w:val="005B3E89"/>
    <w:rsid w:val="00647DF1"/>
    <w:rsid w:val="00810D54"/>
    <w:rsid w:val="0098684E"/>
    <w:rsid w:val="009E2928"/>
    <w:rsid w:val="00A023E9"/>
    <w:rsid w:val="00AF5497"/>
    <w:rsid w:val="00CD61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FDB03"/>
  <w15:chartTrackingRefBased/>
  <w15:docId w15:val="{4CC07CB8-844A-4A6E-BD50-E07FD29F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C59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2170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BOYER</dc:creator>
  <cp:keywords/>
  <dc:description/>
  <cp:lastModifiedBy>Serge BOYER</cp:lastModifiedBy>
  <cp:revision>2</cp:revision>
  <cp:lastPrinted>2021-03-11T06:27:00Z</cp:lastPrinted>
  <dcterms:created xsi:type="dcterms:W3CDTF">2022-04-08T09:32:00Z</dcterms:created>
  <dcterms:modified xsi:type="dcterms:W3CDTF">2022-04-08T09:32:00Z</dcterms:modified>
</cp:coreProperties>
</file>